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6"/>
        <w:gridCol w:w="2610"/>
        <w:gridCol w:w="2386"/>
        <w:gridCol w:w="2098"/>
      </w:tblGrid>
      <w:tr w:rsidR="00A71F88" w:rsidTr="00DA6B5E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2286" w:type="dxa"/>
          </w:tcPr>
          <w:p w:rsidR="00A71F88" w:rsidRDefault="00A71F88" w:rsidP="00DA6B5E">
            <w:pPr>
              <w:jc w:val="center"/>
              <w:rPr>
                <w:sz w:val="16"/>
              </w:rPr>
            </w:pPr>
          </w:p>
          <w:p w:rsidR="00A71F88" w:rsidRDefault="00A71F88" w:rsidP="00DA6B5E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15C4EB9A" wp14:editId="3E8F2719">
                  <wp:extent cx="914400" cy="681355"/>
                  <wp:effectExtent l="0" t="0" r="0" b="4445"/>
                  <wp:docPr id="4" name="Picture 4" descr="ANd9GcS1WUiAzEXiMriVoZ9ui7cLnPznSmbzkoJmDAS0aCo3l3bkKjRm3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Nd9GcS1WUiAzEXiMriVoZ9ui7cLnPznSmbzkoJmDAS0aCo3l3bkKjRm3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F88" w:rsidRDefault="00A71F88" w:rsidP="00DA6B5E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ECFF</w:t>
            </w:r>
          </w:p>
        </w:tc>
        <w:tc>
          <w:tcPr>
            <w:tcW w:w="2610" w:type="dxa"/>
          </w:tcPr>
          <w:p w:rsidR="00A71F88" w:rsidRDefault="00A71F88" w:rsidP="00DA6B5E">
            <w:pPr>
              <w:jc w:val="center"/>
              <w:rPr>
                <w:sz w:val="16"/>
              </w:rPr>
            </w:pPr>
          </w:p>
          <w:p w:rsidR="00A71F88" w:rsidRDefault="00A71F88" w:rsidP="00DA6B5E">
            <w:pPr>
              <w:jc w:val="center"/>
              <w:rPr>
                <w:sz w:val="16"/>
              </w:rPr>
            </w:pPr>
            <w:r>
              <w:rPr>
                <w:b/>
                <w:noProof/>
                <w:sz w:val="16"/>
              </w:rPr>
              <w:drawing>
                <wp:inline distT="0" distB="0" distL="0" distR="0" wp14:anchorId="14DBADBF" wp14:editId="4AA52CB0">
                  <wp:extent cx="1130300" cy="690245"/>
                  <wp:effectExtent l="0" t="0" r="0" b="0"/>
                  <wp:docPr id="3" name="Picture 3" descr="iff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ff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F88" w:rsidRDefault="00A71F88" w:rsidP="00DA6B5E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GFMC</w:t>
            </w:r>
          </w:p>
        </w:tc>
        <w:tc>
          <w:tcPr>
            <w:tcW w:w="2386" w:type="dxa"/>
          </w:tcPr>
          <w:p w:rsidR="00A71F88" w:rsidRDefault="00A71F88" w:rsidP="00DA6B5E">
            <w:pPr>
              <w:jc w:val="center"/>
              <w:rPr>
                <w:sz w:val="16"/>
              </w:rPr>
            </w:pPr>
          </w:p>
          <w:p w:rsidR="00A71F88" w:rsidRDefault="00A71F88" w:rsidP="00DA6B5E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3DB02D89" wp14:editId="2ACFB331">
                  <wp:extent cx="836930" cy="707390"/>
                  <wp:effectExtent l="0" t="0" r="1270" b="0"/>
                  <wp:docPr id="2" name="Picture 2" descr="Logo_2007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2007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F88" w:rsidRDefault="00A71F88" w:rsidP="00DA6B5E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RFMC</w:t>
            </w:r>
          </w:p>
        </w:tc>
        <w:tc>
          <w:tcPr>
            <w:tcW w:w="2098" w:type="dxa"/>
          </w:tcPr>
          <w:p w:rsidR="00A71F88" w:rsidRDefault="00A71F88" w:rsidP="00DA6B5E">
            <w:pPr>
              <w:jc w:val="center"/>
              <w:rPr>
                <w:sz w:val="16"/>
              </w:rPr>
            </w:pPr>
          </w:p>
          <w:p w:rsidR="00A71F88" w:rsidRDefault="00A71F88" w:rsidP="00DA6B5E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7D1A3125" wp14:editId="70DC4A2E">
                  <wp:extent cx="1052195" cy="698500"/>
                  <wp:effectExtent l="0" t="0" r="0" b="6350"/>
                  <wp:docPr id="1" name="Picture 1" descr="Logo_REEFMC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REEFMC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F88" w:rsidRDefault="00A71F88" w:rsidP="00DA6B5E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REEFMC</w:t>
            </w:r>
          </w:p>
        </w:tc>
      </w:tr>
    </w:tbl>
    <w:p w:rsidR="00A71F88" w:rsidRDefault="00A71F88"/>
    <w:p w:rsidR="00A71F88" w:rsidRDefault="00A71F88"/>
    <w:p w:rsidR="00A71F88" w:rsidRDefault="00A71F88" w:rsidP="00A71F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Workshop on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Defense of Villages, Farms and Other Rural Assets against Wildfires: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Guidelines for Rural Populations, Local Community and Municipality Leaders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in the Balkan Region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National Technical University of Athens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13 May 2012, Athens, Greece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6"/>
          <w:szCs w:val="26"/>
        </w:rPr>
      </w:pP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>A</w:t>
      </w: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>genda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Background and Rationale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 some regions of Europe rural settlements (villages, towns, scattered farmsteads) and other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rural assets (agricultural fields / crops, infrastructures and other values at risk) are increasingly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endangered by wildfires. This trend is driven by the consequences of land‐use change, regional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climate change and particularly by the rural exodus, which has resulted in the weakening of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rural work force and self‐protection ability, and increasing wildfire hazard on abandoned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lands.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Vice‐versa, increasing industrialization and concentration of populations in some areas exert 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high pressure on natural resources for land use change, which is reflected by the high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frequency of arson and ‘unknown’‐cause fires in the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wildlands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The intermix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of human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settlements with natural ecosystems and the fires burning at the interface between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wildlands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and rural settlements in many places create severe problems, which have become a major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issue of political debate and confrontation.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Recent major wildfire disasters in Europe reveal that government authorities and civil society,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notably rural communities, are not sufficiently prepared to prevent and reduce the risk of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wildfires, to defend rural communities and rural assets at risk, and to protect human health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and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altogether human security against the adverse direct and indirect impacts and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consequences of wildfires.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Guidelines are needed that will provide information to local inhabitants (farmers, community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leaders, local fire service units, volunteer firefighters and village defense committees) with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state‐of‐the‐art information on wildfire damage prevention measures, and pragmatic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measures for the defense of settlements and rural assets threatened by wildfires. With such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guidelines local communities will be capacitated to apply all fire safety regulations for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protecting the structures of the community (clearing vegetation, provide extra sources of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lastRenderedPageBreak/>
        <w:t>water, application of appropriate building codes and use of appropriate materials, etc.) and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 the protection of rural populations against the adverse effects of vegetation fire smoke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pollution on human health and security. Also, the problem of fires burning on terrain altered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by human activities, such as fires affecting dispersed, sometimes abandoned structures, waste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deposits / garbage dumps and otherwise contaminated lands, needs to be addressed due to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 highly toxic emissions generated by co‐burning of natural vegetation and technical /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chemical produce.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 addition, the threats arising from fires burning on territories contaminated by unexploded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ordnance (UXO) need to be addressed since some forest and non‐forest lands in Balkan region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are contaminated by land mines and unexploded ordnance (UXO) stemming from recent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conflicts.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 order to enhance the capabilities of local rural communities to defend themselves against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wildfires a set of guidelines are currently developed in order to: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Provide a practical technical document designed as a support tool for the protection of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people and communities in Balkan region from wildfires;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Serve as a starting point and basis for the exchange of expertise and concepts within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 Council of Europe / UNECE member states to continuously expand capacities in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rural fire management.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The guidelines are prepared with the support from the European and Mediterranean Major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Hazards Agreement (EUR‐OPA) set up by the Committee of Ministers of the Council of Europe.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The collaborating centers are the European Forest Fire Center (Athens), the Global Fire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Monitoring Center (Germany), the Regional Southeast Europe / Caucasus Fire Monitoring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Center (Skopje) and the Eastern European Fire Monitoring Center (Kiev). Members of the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UNECE/FAO Team of Specialists on Forest Fire and the UNISDR Regional Eurasian and SE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Europe / Caucasus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Wildland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Fire Networks will contribute to the development of the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guidelines.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Workshop objective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The Athens workshop participants will review the draft Guidelines for the Defense of Rural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Populations, Settlements and Other Assets against Wildfires and Smoke Pollution. This first set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of guidelines will be tailored to address the conditions in Southeast Europe.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Main topics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Review of Part 1: Guidelines for Municipality Leaders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Review of Part 2: Guidelines for Local Community and Population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Review of Part 3: Fire training for Local Community and Population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Note: The draft materials will be transmitted to invitees briefly before the workshop, or prints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handed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out at the workshop.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Workshop Participants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Attendance is by invitation only. Each invitee agrees to serve as resource person.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>Venue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National Technical University of Athens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9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Iroon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Polytechniou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Street, 15780,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Zografou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campus, Athens, Greece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Contact: Prof. Milt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Statheropoulos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and staff: Tel. +30‐210‐772‐3109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Or directly Dr.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Ioannis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Mitsopoulos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FF"/>
          <w:sz w:val="24"/>
          <w:szCs w:val="24"/>
        </w:rPr>
        <w:t>ioanmits@for.auth.gr</w:t>
      </w:r>
      <w:r>
        <w:rPr>
          <w:rFonts w:ascii="Calibri" w:hAnsi="Calibri" w:cs="Calibri"/>
          <w:color w:val="000000"/>
          <w:sz w:val="24"/>
          <w:szCs w:val="24"/>
        </w:rPr>
        <w:t>, cell phone +30‐6977548333)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Organizing Committee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European Center of Forest Fires (ECFF)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Global Fire Monitoring Center (GFMC)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Regional Southeast Europe / Caucasus Fire Monitoring Center (RFMC)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Regional Eastern European Fire Monitoring Center (REEFMC)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Sponsors and Supporting Groups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Council of Europe, European and Mediterranean Major Hazards Agreement (EUR‐OPA)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Global Fire Monitoring Center (GFMC)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Global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Wildland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Fire Network / UNISDR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Wildland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Fire Advisory Group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UNECE / FAO Team of Specialists on Forest Fire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Agenda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Monday 13 May 2013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09:00 Participants arrive at the venue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09:15 – 09:30 Welcome and introduction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09.30 – 11:00 Part 1 Review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11:00 – 11:30 Coffee break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11:30 – 13.00 Part 2 Review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13:00 – 14:00 Lunch break</w:t>
      </w:r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14:00 – 15:30 Part 3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Review</w:t>
      </w:r>
      <w:proofErr w:type="gramEnd"/>
    </w:p>
    <w:p w:rsidR="00A71F88" w:rsidRDefault="00A71F88" w:rsidP="00A71F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15:30 – 16:00 Coffee break</w:t>
      </w:r>
    </w:p>
    <w:p w:rsidR="00A71F88" w:rsidRDefault="00A71F88" w:rsidP="00A71F88">
      <w:r>
        <w:rPr>
          <w:rFonts w:ascii="Calibri" w:hAnsi="Calibri" w:cs="Calibri"/>
          <w:color w:val="000000"/>
          <w:sz w:val="24"/>
          <w:szCs w:val="24"/>
        </w:rPr>
        <w:t>16.00 – 17.00: Final discussion</w:t>
      </w:r>
    </w:p>
    <w:sectPr w:rsidR="00A71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88"/>
    <w:rsid w:val="00A71F88"/>
    <w:rsid w:val="00C3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890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1</cp:revision>
  <dcterms:created xsi:type="dcterms:W3CDTF">2013-05-27T20:31:00Z</dcterms:created>
  <dcterms:modified xsi:type="dcterms:W3CDTF">2013-05-27T20:38:00Z</dcterms:modified>
</cp:coreProperties>
</file>